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149654758"/>
    <w:p w14:paraId="40891563" w14:textId="01CDFC30" w:rsidR="00E217B0" w:rsidRDefault="00F553E4">
      <w:pPr>
        <w:spacing w:after="100" w:afterAutospacing="1"/>
        <w:rPr>
          <w:rFonts w:ascii="Futura Std Book" w:hAnsi="Futura Std Book" w:cs="Futura Std Medium"/>
          <w:color w:val="EB8215"/>
          <w:sz w:val="23"/>
        </w:rPr>
      </w:pPr>
      <w:r>
        <w:rPr>
          <w:rFonts w:asciiTheme="majorHAnsi" w:hAnsiTheme="majorHAnsi" w:cstheme="majorHAnsi"/>
          <w:noProof/>
          <w:color w:val="E7E6E6" w:themeColor="background2"/>
          <w:sz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7454BC" wp14:editId="66E35A68">
                <wp:simplePos x="0" y="0"/>
                <wp:positionH relativeFrom="column">
                  <wp:posOffset>16510</wp:posOffset>
                </wp:positionH>
                <wp:positionV relativeFrom="paragraph">
                  <wp:posOffset>651510</wp:posOffset>
                </wp:positionV>
                <wp:extent cx="6210935" cy="2540"/>
                <wp:effectExtent l="0" t="0" r="37465" b="48260"/>
                <wp:wrapNone/>
                <wp:docPr id="7" name="Rechte verbindingslijn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10935" cy="25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2">
                              <a:lumMod val="2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B91193A" id="Rechte verbindingslijn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3pt,51.3pt" to="490.35pt,5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" strokecolor="#393737 [814]" strokeweight=".5pt">
                <v:stroke joinstyle="miter"/>
              </v:line>
            </w:pict>
          </mc:Fallback>
        </mc:AlternateContent>
      </w:r>
      <w:r>
        <w:rPr>
          <w:rFonts w:asciiTheme="majorHAnsi" w:hAnsiTheme="majorHAnsi" w:cstheme="majorHAnsi"/>
          <w:noProof/>
          <w:color w:val="E7E6E6" w:themeColor="background2"/>
          <w:sz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6064078" wp14:editId="18E41CB4">
                <wp:simplePos x="0" y="0"/>
                <wp:positionH relativeFrom="column">
                  <wp:posOffset>16510</wp:posOffset>
                </wp:positionH>
                <wp:positionV relativeFrom="paragraph">
                  <wp:posOffset>651510</wp:posOffset>
                </wp:positionV>
                <wp:extent cx="6210935" cy="2540"/>
                <wp:effectExtent l="0" t="0" r="37465" b="48260"/>
                <wp:wrapNone/>
                <wp:docPr id="1" name="Rechte verbindingslij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10935" cy="25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2">
                              <a:lumMod val="2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ED239E8" id="Rechte verbindingslijn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3pt,51.3pt" to="490.35pt,5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" strokecolor="#393737 [814]" strokeweight=".5pt">
                <v:stroke joinstyle="miter"/>
              </v:line>
            </w:pict>
          </mc:Fallback>
        </mc:AlternateContent>
      </w:r>
      <w:r>
        <w:rPr>
          <w:rFonts w:asciiTheme="majorHAnsi" w:hAnsiTheme="majorHAnsi" w:cstheme="majorHAnsi"/>
          <w:color w:val="3B3838" w:themeColor="background2" w:themeShade="40"/>
          <w:sz w:val="40"/>
        </w:rPr>
        <w:t>VENUS</w:t>
      </w:r>
      <w:r>
        <w:rPr>
          <w:rFonts w:ascii="Futura Std Book" w:hAnsi="Futura Std Book" w:cs="Futura Std Medium"/>
          <w:color w:val="3B3838" w:themeColor="background2" w:themeShade="40"/>
          <w:sz w:val="40"/>
        </w:rPr>
        <w:t xml:space="preserve"> </w:t>
      </w:r>
      <w:r w:rsidR="00574AAA">
        <w:rPr>
          <w:rFonts w:ascii="Futura Std Book" w:hAnsi="Futura Std Book" w:cs="Futura Std Medium"/>
          <w:color w:val="3B3838" w:themeColor="background2" w:themeShade="40"/>
          <w:sz w:val="40"/>
        </w:rPr>
        <w:br/>
      </w:r>
      <w:r>
        <w:rPr>
          <w:rFonts w:cstheme="minorHAnsi"/>
          <w:b/>
          <w:color w:val="EB8215"/>
          <w:sz w:val="28"/>
        </w:rPr>
        <w:t>Automatyczny mechanizm samozamykający do furtek skrzydłowych dla pieszych</w:t>
      </w:r>
    </w:p>
    <w:p w14:paraId="4BB94C29" w14:textId="3936D567" w:rsidR="00E217B0" w:rsidRDefault="00F553E4">
      <w:pPr>
        <w:pStyle w:val="Pa1"/>
        <w:spacing w:before="240" w:after="120"/>
        <w:rPr>
          <w:rFonts w:asciiTheme="majorHAnsi" w:hAnsiTheme="majorHAnsi" w:cs="Calibri Light (Koppen)"/>
          <w:b/>
          <w:color w:val="EB8215"/>
          <w:sz w:val="20"/>
        </w:rPr>
      </w:pPr>
      <w:r>
        <w:rPr>
          <w:rFonts w:asciiTheme="majorHAnsi" w:hAnsiTheme="majorHAnsi" w:cs="Calibri Light (Koppen)"/>
          <w:b/>
          <w:color w:val="EB8215"/>
          <w:sz w:val="20"/>
        </w:rPr>
        <w:t>CHARAKTERYSTYKA</w:t>
      </w:r>
    </w:p>
    <w:p w14:paraId="79BF6ED6" w14:textId="3552AB2D" w:rsidR="00E217B0" w:rsidRDefault="00F553E4">
      <w:pPr>
        <w:pStyle w:val="Bullets"/>
        <w:rPr>
          <w:rFonts w:ascii="Calibri" w:hAnsi="Calibri" w:cs="Calibri"/>
        </w:rPr>
      </w:pPr>
      <w:r>
        <w:rPr>
          <w:rFonts w:ascii="Calibri" w:hAnsi="Calibri" w:cs="Calibri"/>
        </w:rPr>
        <w:t xml:space="preserve">Elektryczny mechanizm samozamykający. </w:t>
      </w:r>
    </w:p>
    <w:p w14:paraId="0A04883B" w14:textId="1B12FFDE" w:rsidR="00E217B0" w:rsidRDefault="00F553E4">
      <w:pPr>
        <w:pStyle w:val="Bullets"/>
        <w:rPr>
          <w:rFonts w:ascii="Calibri" w:hAnsi="Calibri" w:cs="Calibri"/>
        </w:rPr>
      </w:pPr>
      <w:r>
        <w:rPr>
          <w:rFonts w:ascii="Calibri" w:hAnsi="Calibri" w:cs="Calibri"/>
        </w:rPr>
        <w:t>Z silnikiem rewersyjnym.</w:t>
      </w:r>
    </w:p>
    <w:p w14:paraId="3388C7DA" w14:textId="63009333" w:rsidR="00E217B0" w:rsidRDefault="00F553E4">
      <w:pPr>
        <w:pStyle w:val="Bullets"/>
        <w:rPr>
          <w:rFonts w:ascii="Calibri" w:hAnsi="Calibri" w:cs="Calibri"/>
        </w:rPr>
      </w:pPr>
      <w:r>
        <w:rPr>
          <w:rFonts w:ascii="Calibri" w:hAnsi="Calibri" w:cs="Calibri"/>
        </w:rPr>
        <w:t>Zawsze można sterować nim manualnie.</w:t>
      </w:r>
    </w:p>
    <w:p w14:paraId="188FFAE3" w14:textId="77777777" w:rsidR="00E217B0" w:rsidRDefault="00F553E4">
      <w:pPr>
        <w:pStyle w:val="Bullets"/>
        <w:rPr>
          <w:rFonts w:ascii="Calibri" w:hAnsi="Calibri" w:cs="Calibri"/>
        </w:rPr>
      </w:pPr>
      <w:r>
        <w:rPr>
          <w:rFonts w:ascii="Calibri" w:hAnsi="Calibri" w:cs="Calibri"/>
        </w:rPr>
        <w:t>Jest odpowiedni do bram o wadze do 100 kg i szerokości do 1400 mm.</w:t>
      </w:r>
    </w:p>
    <w:p w14:paraId="6698A5BD" w14:textId="723AC195" w:rsidR="00E217B0" w:rsidRDefault="00F553E4">
      <w:pPr>
        <w:pStyle w:val="Bullets"/>
        <w:rPr>
          <w:rFonts w:ascii="Calibri" w:hAnsi="Calibri" w:cs="Calibri"/>
        </w:rPr>
      </w:pPr>
      <w:r>
        <w:rPr>
          <w:rFonts w:ascii="Calibri" w:hAnsi="Calibri" w:cs="Calibri"/>
        </w:rPr>
        <w:t>Maksymalna moc silnika wynosi 150 Nm.</w:t>
      </w:r>
    </w:p>
    <w:p w14:paraId="3CE47B47" w14:textId="3EE0F5AE" w:rsidR="00E217B0" w:rsidRDefault="00F553E4">
      <w:pPr>
        <w:pStyle w:val="Bullets"/>
        <w:rPr>
          <w:rFonts w:ascii="Calibri" w:hAnsi="Calibri" w:cs="Calibri"/>
        </w:rPr>
      </w:pPr>
      <w:r>
        <w:rPr>
          <w:rFonts w:ascii="Calibri" w:hAnsi="Calibri" w:cs="Calibri"/>
        </w:rPr>
        <w:t>Do bram o kącie otwarcia do 175°.</w:t>
      </w:r>
    </w:p>
    <w:p w14:paraId="1E2459EB" w14:textId="424877A8" w:rsidR="00E217B0" w:rsidRDefault="00F553E4">
      <w:pPr>
        <w:pStyle w:val="Bullets"/>
        <w:rPr>
          <w:rFonts w:ascii="Calibri" w:hAnsi="Calibri" w:cs="Calibri"/>
        </w:rPr>
      </w:pPr>
      <w:r>
        <w:rPr>
          <w:rFonts w:ascii="Calibri" w:hAnsi="Calibri" w:cs="Calibri"/>
        </w:rPr>
        <w:t xml:space="preserve">Opór otwierania wynosi maksymalnie 15 Nm. </w:t>
      </w:r>
    </w:p>
    <w:p w14:paraId="400C0792" w14:textId="1C40C2B1" w:rsidR="00E217B0" w:rsidRDefault="00F553E4">
      <w:pPr>
        <w:pStyle w:val="Bullets"/>
        <w:rPr>
          <w:rFonts w:ascii="Calibri" w:hAnsi="Calibri" w:cs="Calibri"/>
        </w:rPr>
      </w:pPr>
      <w:r>
        <w:rPr>
          <w:rFonts w:ascii="Calibri" w:hAnsi="Calibri" w:cs="Calibri"/>
        </w:rPr>
        <w:t>Można regulować prędkość zamykania.</w:t>
      </w:r>
    </w:p>
    <w:p w14:paraId="0158222C" w14:textId="7B79CD19" w:rsidR="00E217B0" w:rsidRDefault="00F553E4">
      <w:pPr>
        <w:pStyle w:val="Bullets"/>
        <w:rPr>
          <w:rFonts w:ascii="Calibri" w:hAnsi="Calibri" w:cs="Calibri"/>
        </w:rPr>
      </w:pPr>
      <w:r>
        <w:rPr>
          <w:rFonts w:ascii="Calibri" w:hAnsi="Calibri" w:cs="Calibri"/>
        </w:rPr>
        <w:t>Moc silnika można regulować.</w:t>
      </w:r>
    </w:p>
    <w:p w14:paraId="574C701B" w14:textId="1A87816E" w:rsidR="00E217B0" w:rsidRDefault="00F553E4">
      <w:pPr>
        <w:pStyle w:val="Bullets"/>
        <w:rPr>
          <w:rFonts w:ascii="Calibri" w:hAnsi="Calibri" w:cs="Calibri"/>
        </w:rPr>
      </w:pPr>
      <w:r>
        <w:rPr>
          <w:rFonts w:ascii="Calibri" w:hAnsi="Calibri" w:cs="Calibri"/>
        </w:rPr>
        <w:t>Wyposażony w tłumienie silnika.</w:t>
      </w:r>
    </w:p>
    <w:p w14:paraId="4A5E8368" w14:textId="68194D6F" w:rsidR="00E217B0" w:rsidRDefault="00F553E4">
      <w:pPr>
        <w:pStyle w:val="Bullets"/>
        <w:rPr>
          <w:rFonts w:ascii="Calibri" w:hAnsi="Calibri" w:cs="Calibri"/>
        </w:rPr>
      </w:pPr>
      <w:r>
        <w:rPr>
          <w:rFonts w:ascii="Calibri" w:hAnsi="Calibri" w:cs="Calibri"/>
        </w:rPr>
        <w:t>Ma tryb powolnego startu/zatrzymania.</w:t>
      </w:r>
    </w:p>
    <w:p w14:paraId="1BC0C5A1" w14:textId="281C073C" w:rsidR="00E217B0" w:rsidRDefault="00F553E4">
      <w:pPr>
        <w:pStyle w:val="Bullets"/>
        <w:rPr>
          <w:rFonts w:ascii="Calibri" w:hAnsi="Calibri" w:cs="Calibri"/>
        </w:rPr>
      </w:pPr>
      <w:r>
        <w:rPr>
          <w:rFonts w:ascii="Calibri" w:hAnsi="Calibri" w:cs="Calibri"/>
        </w:rPr>
        <w:t>Możliwość otwarcia furtki lekkim naciśnięciem.</w:t>
      </w:r>
    </w:p>
    <w:p w14:paraId="20C1551D" w14:textId="77777777" w:rsidR="00E217B0" w:rsidRDefault="00F553E4">
      <w:pPr>
        <w:pStyle w:val="Bullets"/>
        <w:rPr>
          <w:rFonts w:ascii="Calibri" w:hAnsi="Calibri" w:cs="Calibri"/>
        </w:rPr>
      </w:pPr>
      <w:r>
        <w:rPr>
          <w:rFonts w:ascii="Calibri" w:hAnsi="Calibri" w:cs="Calibri"/>
        </w:rPr>
        <w:t>Ma zintegrowane wykrywanie przeszkód.</w:t>
      </w:r>
    </w:p>
    <w:p w14:paraId="33EAF88D" w14:textId="77777777" w:rsidR="00E217B0" w:rsidRDefault="00F553E4">
      <w:pPr>
        <w:pStyle w:val="Bullets"/>
        <w:rPr>
          <w:rFonts w:ascii="Calibri" w:hAnsi="Calibri" w:cs="Calibri"/>
        </w:rPr>
      </w:pPr>
      <w:r>
        <w:rPr>
          <w:rFonts w:ascii="Calibri" w:hAnsi="Calibri" w:cs="Calibri"/>
        </w:rPr>
        <w:t>Jest wyposażony w zintegrowaną lampę ostrzegawczą.</w:t>
      </w:r>
    </w:p>
    <w:p w14:paraId="335E5FB7" w14:textId="699B5DEB" w:rsidR="00E217B0" w:rsidRDefault="00F553E4">
      <w:pPr>
        <w:pStyle w:val="Bullets"/>
        <w:rPr>
          <w:rFonts w:ascii="Calibri" w:hAnsi="Calibri" w:cs="Calibri"/>
        </w:rPr>
      </w:pPr>
      <w:r>
        <w:rPr>
          <w:rFonts w:ascii="Calibri" w:hAnsi="Calibri" w:cs="Calibri"/>
        </w:rPr>
        <w:t xml:space="preserve">Do wyboru </w:t>
      </w:r>
      <w:r w:rsidR="00221C5F">
        <w:rPr>
          <w:rFonts w:ascii="Calibri" w:hAnsi="Calibri" w:cs="Calibri"/>
        </w:rPr>
        <w:t>3</w:t>
      </w:r>
      <w:r>
        <w:rPr>
          <w:rFonts w:ascii="Calibri" w:hAnsi="Calibri" w:cs="Calibri"/>
        </w:rPr>
        <w:t xml:space="preserve"> rodzaje ramion łączących:</w:t>
      </w:r>
    </w:p>
    <w:p w14:paraId="0AEB8E9A" w14:textId="77777777" w:rsidR="00F553E4" w:rsidRPr="00F553E4" w:rsidRDefault="00F553E4" w:rsidP="00F553E4">
      <w:pPr>
        <w:pStyle w:val="Bullets"/>
        <w:numPr>
          <w:ilvl w:val="1"/>
          <w:numId w:val="3"/>
        </w:numPr>
        <w:rPr>
          <w:rFonts w:ascii="Calibri" w:hAnsi="Calibri" w:cs="Calibri"/>
        </w:rPr>
      </w:pPr>
      <w:r w:rsidRPr="00F553E4">
        <w:rPr>
          <w:rFonts w:ascii="Calibri" w:hAnsi="Calibri" w:cs="Calibri"/>
        </w:rPr>
        <w:t>Ramię ślizgowe, odpowiednie do połączenia z zawiasami 90°, maksymalna odległość 50 mm pomiędzy urządzeniem a środkiem obrotu zawiasu</w:t>
      </w:r>
    </w:p>
    <w:p w14:paraId="09CA721B" w14:textId="77777777" w:rsidR="00F553E4" w:rsidRPr="00F553E4" w:rsidRDefault="00F553E4" w:rsidP="00F553E4">
      <w:pPr>
        <w:pStyle w:val="Bullets"/>
        <w:numPr>
          <w:ilvl w:val="1"/>
          <w:numId w:val="3"/>
        </w:numPr>
        <w:rPr>
          <w:rFonts w:ascii="Calibri" w:hAnsi="Calibri" w:cs="Calibri"/>
        </w:rPr>
      </w:pPr>
      <w:r w:rsidRPr="00F553E4">
        <w:rPr>
          <w:rFonts w:ascii="Calibri" w:hAnsi="Calibri" w:cs="Calibri"/>
        </w:rPr>
        <w:t>Ramię przegubowe, odpowiednie do połączenia z zawiasami 90°, maksymalna odległość 250 mm pomiędzy urządzeniem a środkiem obrotu zawiasu</w:t>
      </w:r>
    </w:p>
    <w:p w14:paraId="59493E40" w14:textId="77777777" w:rsidR="00F553E4" w:rsidRDefault="00F553E4" w:rsidP="00F553E4">
      <w:pPr>
        <w:pStyle w:val="Bullets"/>
        <w:numPr>
          <w:ilvl w:val="1"/>
          <w:numId w:val="3"/>
        </w:numPr>
        <w:rPr>
          <w:rFonts w:ascii="Calibri" w:hAnsi="Calibri" w:cs="Calibri"/>
        </w:rPr>
      </w:pPr>
      <w:r w:rsidRPr="00F553E4">
        <w:rPr>
          <w:rFonts w:ascii="Calibri" w:hAnsi="Calibri" w:cs="Calibri"/>
        </w:rPr>
        <w:t>Ramię z uchwytem do połączenia z zawiasami 180°</w:t>
      </w:r>
    </w:p>
    <w:p w14:paraId="2A759041" w14:textId="61496F8C" w:rsidR="00E217B0" w:rsidRDefault="00F553E4" w:rsidP="00F553E4">
      <w:pPr>
        <w:pStyle w:val="Bullets"/>
        <w:rPr>
          <w:rFonts w:ascii="Calibri" w:hAnsi="Calibri" w:cs="Calibri"/>
        </w:rPr>
      </w:pPr>
      <w:r>
        <w:rPr>
          <w:rFonts w:ascii="Calibri" w:hAnsi="Calibri" w:cs="Calibri"/>
        </w:rPr>
        <w:t>Zaprojektowany i wyprodukowany w Europie lub Stanach Zjednoczonych.</w:t>
      </w:r>
    </w:p>
    <w:p w14:paraId="3121C216" w14:textId="7F6596D2" w:rsidR="00E217B0" w:rsidRDefault="00F553E4">
      <w:pPr>
        <w:pStyle w:val="Bullets"/>
        <w:rPr>
          <w:rFonts w:ascii="Calibri" w:hAnsi="Calibri" w:cs="Calibri"/>
        </w:rPr>
      </w:pPr>
      <w:r>
        <w:rPr>
          <w:rFonts w:ascii="Calibri" w:hAnsi="Calibri" w:cs="Calibri"/>
        </w:rPr>
        <w:t>Jest zgodny z wytycznymi „ADA” (</w:t>
      </w:r>
      <w:r>
        <w:rPr>
          <w:rFonts w:ascii="Calibri" w:hAnsi="Calibri" w:cs="Calibri"/>
          <w:i/>
        </w:rPr>
        <w:t>Ustawy o niepełnosprawnych Amerykanach</w:t>
      </w:r>
      <w:r>
        <w:rPr>
          <w:rFonts w:ascii="Calibri" w:hAnsi="Calibri" w:cs="Calibri"/>
        </w:rPr>
        <w:t>).</w:t>
      </w:r>
    </w:p>
    <w:p w14:paraId="7B2BDC49" w14:textId="7757EC4C" w:rsidR="00E217B0" w:rsidRDefault="00F553E4">
      <w:pPr>
        <w:pStyle w:val="Bullets"/>
        <w:rPr>
          <w:rFonts w:ascii="Calibri" w:hAnsi="Calibri" w:cs="Calibri"/>
        </w:rPr>
      </w:pPr>
      <w:r>
        <w:rPr>
          <w:rFonts w:ascii="Calibri" w:hAnsi="Calibri" w:cs="Calibri"/>
        </w:rPr>
        <w:t xml:space="preserve">Jest zgodny z wytycznymi „ROSPA” (brytyjskiego </w:t>
      </w:r>
      <w:r>
        <w:rPr>
          <w:rFonts w:ascii="Calibri" w:hAnsi="Calibri" w:cs="Calibri"/>
          <w:i/>
          <w:iCs/>
        </w:rPr>
        <w:t>Królewskiego Towarzystwa Zapobiegania Wypadkom</w:t>
      </w:r>
      <w:r>
        <w:rPr>
          <w:rFonts w:ascii="Calibri" w:hAnsi="Calibri" w:cs="Calibri"/>
        </w:rPr>
        <w:t>).</w:t>
      </w:r>
    </w:p>
    <w:p w14:paraId="1564BFFE" w14:textId="3D387789" w:rsidR="00E217B0" w:rsidRPr="00574AAA" w:rsidRDefault="00F553E4">
      <w:pPr>
        <w:pStyle w:val="Bullets"/>
        <w:rPr>
          <w:rFonts w:ascii="Calibri" w:hAnsi="Calibri" w:cs="Calibri"/>
          <w:color w:val="auto"/>
        </w:rPr>
      </w:pPr>
      <w:r w:rsidRPr="00574AAA">
        <w:rPr>
          <w:rFonts w:ascii="Calibri" w:hAnsi="Calibri" w:cs="Calibri"/>
          <w:color w:val="auto"/>
        </w:rPr>
        <w:t>Jest zgodny z normami EN12453 i EN16005 dotyczącymi bezpiecznego użytkowania systemów drzwi automatycznych.</w:t>
      </w:r>
    </w:p>
    <w:p w14:paraId="17B379C9" w14:textId="4FCABFF3" w:rsidR="00E217B0" w:rsidRPr="00574AAA" w:rsidRDefault="00F553E4">
      <w:pPr>
        <w:pStyle w:val="Bullets"/>
        <w:rPr>
          <w:rFonts w:ascii="Calibri" w:hAnsi="Calibri" w:cs="Calibri"/>
          <w:color w:val="auto"/>
        </w:rPr>
      </w:pPr>
      <w:r w:rsidRPr="00574AAA">
        <w:rPr>
          <w:rFonts w:ascii="Calibri" w:hAnsi="Calibri" w:cs="Calibri"/>
          <w:color w:val="auto"/>
        </w:rPr>
        <w:t>Należy połączyć z zamkiem elektrycznym lub mechanicznym.</w:t>
      </w:r>
    </w:p>
    <w:p w14:paraId="248C6131" w14:textId="77777777" w:rsidR="00E217B0" w:rsidRPr="00574AAA" w:rsidRDefault="00F553E4">
      <w:pPr>
        <w:pStyle w:val="Bullets"/>
        <w:rPr>
          <w:rFonts w:ascii="Calibri" w:hAnsi="Calibri" w:cs="Calibri"/>
          <w:color w:val="auto"/>
        </w:rPr>
      </w:pPr>
      <w:r w:rsidRPr="00574AAA">
        <w:rPr>
          <w:rFonts w:ascii="Calibri" w:hAnsi="Calibri" w:cs="Calibri"/>
          <w:color w:val="auto"/>
        </w:rPr>
        <w:t>Aby otwierał się w pełni automatycznie, należy połączyć z zaczepem elektromagnetycznym, zamkiem mechanicznym z elektrozaczepem lub ryglem silnikowym.</w:t>
      </w:r>
    </w:p>
    <w:p w14:paraId="30B13BB5" w14:textId="1087CF56" w:rsidR="00E217B0" w:rsidRPr="00574AAA" w:rsidRDefault="00F553E4">
      <w:pPr>
        <w:pStyle w:val="Bullets"/>
        <w:rPr>
          <w:rFonts w:ascii="Calibri" w:hAnsi="Calibri" w:cs="Calibri"/>
          <w:color w:val="auto"/>
        </w:rPr>
      </w:pPr>
      <w:r w:rsidRPr="00574AAA">
        <w:rPr>
          <w:rFonts w:ascii="Calibri" w:hAnsi="Calibri" w:cs="Calibri"/>
          <w:color w:val="auto"/>
        </w:rPr>
        <w:t>Dostępny kolor czarny lub srebrny.</w:t>
      </w:r>
    </w:p>
    <w:p w14:paraId="1A4C57D0" w14:textId="7CA42E49" w:rsidR="00E217B0" w:rsidRDefault="00F553E4">
      <w:pPr>
        <w:pStyle w:val="Pa1"/>
        <w:spacing w:before="240" w:after="120"/>
        <w:rPr>
          <w:rFonts w:asciiTheme="majorHAnsi" w:hAnsiTheme="majorHAnsi" w:cs="Calibri Light (Koppen)"/>
          <w:b/>
          <w:color w:val="EB8215"/>
          <w:sz w:val="20"/>
        </w:rPr>
      </w:pPr>
      <w:r>
        <w:rPr>
          <w:rFonts w:asciiTheme="majorHAnsi" w:hAnsiTheme="majorHAnsi" w:cs="Calibri Light (Koppen)"/>
          <w:b/>
          <w:color w:val="EB8215"/>
          <w:sz w:val="20"/>
        </w:rPr>
        <w:t>WYDAJNOŚĆ</w:t>
      </w:r>
    </w:p>
    <w:p w14:paraId="36698EDE" w14:textId="70827A20" w:rsidR="00E217B0" w:rsidRPr="00B8003B" w:rsidRDefault="00F553E4">
      <w:pPr>
        <w:pStyle w:val="Bullets"/>
        <w:rPr>
          <w:rFonts w:ascii="Calibri" w:hAnsi="Calibri" w:cs="Calibri"/>
          <w:lang w:val="nl-BE"/>
        </w:rPr>
      </w:pPr>
      <w:r w:rsidRPr="00B8003B">
        <w:rPr>
          <w:rFonts w:ascii="Calibri" w:hAnsi="Calibri" w:cs="Calibri"/>
          <w:lang w:val="nl-BE"/>
        </w:rPr>
        <w:t>Specjalnie przeznaczony do użytku na zewnątrz.</w:t>
      </w:r>
    </w:p>
    <w:p w14:paraId="208E9136" w14:textId="77777777" w:rsidR="00E217B0" w:rsidRDefault="00F553E4">
      <w:pPr>
        <w:pStyle w:val="Bullets"/>
        <w:rPr>
          <w:rFonts w:ascii="Calibri" w:hAnsi="Calibri" w:cs="Calibri"/>
        </w:rPr>
      </w:pPr>
      <w:r>
        <w:rPr>
          <w:rFonts w:ascii="Calibri" w:hAnsi="Calibri" w:cs="Calibri"/>
        </w:rPr>
        <w:t>Odporny na warunki atmosferyczne i pył.</w:t>
      </w:r>
    </w:p>
    <w:p w14:paraId="329E47B3" w14:textId="59FFE519" w:rsidR="00E217B0" w:rsidRDefault="00F553E4">
      <w:pPr>
        <w:pStyle w:val="Bullets"/>
        <w:rPr>
          <w:rFonts w:ascii="Calibri" w:hAnsi="Calibri" w:cs="Calibri"/>
        </w:rPr>
      </w:pPr>
      <w:r>
        <w:rPr>
          <w:rFonts w:ascii="Calibri" w:hAnsi="Calibri" w:cs="Calibri"/>
        </w:rPr>
        <w:t xml:space="preserve">Stopień ochrony IP55. </w:t>
      </w:r>
    </w:p>
    <w:p w14:paraId="14E821AA" w14:textId="0FC7EE38" w:rsidR="00E217B0" w:rsidRDefault="00F553E4">
      <w:pPr>
        <w:pStyle w:val="Bullets"/>
        <w:rPr>
          <w:rFonts w:ascii="Calibri" w:hAnsi="Calibri" w:cs="Calibri"/>
        </w:rPr>
      </w:pPr>
      <w:r>
        <w:rPr>
          <w:rFonts w:ascii="Calibri" w:hAnsi="Calibri" w:cs="Calibri"/>
        </w:rPr>
        <w:t xml:space="preserve">Bezobsługowy (nie ma potrzeby smarowania ani dolewania oleju). </w:t>
      </w:r>
    </w:p>
    <w:p w14:paraId="7DE3D938" w14:textId="040A8D99" w:rsidR="00E217B0" w:rsidRDefault="00F553E4">
      <w:pPr>
        <w:pStyle w:val="Bullets"/>
        <w:rPr>
          <w:rFonts w:ascii="Calibri" w:hAnsi="Calibri" w:cs="Calibri"/>
        </w:rPr>
      </w:pPr>
      <w:r>
        <w:rPr>
          <w:rFonts w:ascii="Calibri" w:hAnsi="Calibri" w:cs="Calibri"/>
        </w:rPr>
        <w:t>2-letnia gwarancja producenta.</w:t>
      </w:r>
    </w:p>
    <w:p w14:paraId="581BE1AC" w14:textId="4AC95A25" w:rsidR="00E217B0" w:rsidRDefault="00F553E4">
      <w:pPr>
        <w:pStyle w:val="Bullets"/>
        <w:rPr>
          <w:rFonts w:ascii="Calibri" w:hAnsi="Calibri" w:cs="Calibri"/>
        </w:rPr>
      </w:pPr>
      <w:r>
        <w:rPr>
          <w:rFonts w:ascii="Calibri" w:hAnsi="Calibri" w:cs="Calibri"/>
        </w:rPr>
        <w:t>Testowany na 500 000 ruchów.</w:t>
      </w:r>
    </w:p>
    <w:p w14:paraId="29114802" w14:textId="1AFE5D88" w:rsidR="00E217B0" w:rsidRDefault="00F553E4">
      <w:pPr>
        <w:pStyle w:val="Pa1"/>
        <w:spacing w:before="240" w:after="120"/>
        <w:rPr>
          <w:rFonts w:asciiTheme="majorHAnsi" w:hAnsiTheme="majorHAnsi" w:cs="Calibri Light (Koppen)"/>
          <w:b/>
          <w:color w:val="EB8215"/>
          <w:sz w:val="20"/>
        </w:rPr>
      </w:pPr>
      <w:r>
        <w:rPr>
          <w:rFonts w:asciiTheme="majorHAnsi" w:hAnsiTheme="majorHAnsi" w:cs="Calibri Light (Koppen)"/>
          <w:b/>
          <w:color w:val="EB8215"/>
          <w:sz w:val="20"/>
        </w:rPr>
        <w:t>INSTALACJA</w:t>
      </w:r>
    </w:p>
    <w:p w14:paraId="5029F935" w14:textId="77777777" w:rsidR="00E217B0" w:rsidRDefault="00F553E4">
      <w:pPr>
        <w:pStyle w:val="Bullets"/>
        <w:rPr>
          <w:rFonts w:ascii="Calibri" w:hAnsi="Calibri" w:cs="Calibri"/>
        </w:rPr>
      </w:pPr>
      <w:r>
        <w:rPr>
          <w:rFonts w:ascii="Calibri" w:hAnsi="Calibri" w:cs="Calibri"/>
        </w:rPr>
        <w:t>Do profili furtek o grubości co najmniej 80 mm i stali o grubości co najmniej 2 mm</w:t>
      </w:r>
    </w:p>
    <w:p w14:paraId="5840BD98" w14:textId="78A6CF29" w:rsidR="00F553E4" w:rsidRDefault="00F553E4">
      <w:pPr>
        <w:pStyle w:val="Bullets"/>
        <w:rPr>
          <w:rFonts w:ascii="Calibri" w:hAnsi="Calibri" w:cs="Calibri"/>
        </w:rPr>
      </w:pPr>
      <w:r w:rsidRPr="00F553E4">
        <w:rPr>
          <w:rFonts w:ascii="Calibri" w:hAnsi="Calibri" w:cs="Calibri"/>
        </w:rPr>
        <w:t>Dla instalacji na profilach min. 60 mm, lub na ścianach, dostępna jest płyta adaptacyjna VENUS</w:t>
      </w:r>
    </w:p>
    <w:p w14:paraId="21C2E157" w14:textId="76C8340D" w:rsidR="00E217B0" w:rsidRDefault="00F553E4">
      <w:pPr>
        <w:pStyle w:val="Bullets"/>
        <w:rPr>
          <w:rFonts w:ascii="Calibri" w:hAnsi="Calibri" w:cs="Calibri"/>
        </w:rPr>
      </w:pPr>
      <w:r>
        <w:rPr>
          <w:rFonts w:ascii="Calibri" w:hAnsi="Calibri" w:cs="Calibri"/>
        </w:rPr>
        <w:t>Do montażu w otworach o średnicy 15 mm – wstępnie nawierconych za pomocą szablonu.</w:t>
      </w:r>
    </w:p>
    <w:p w14:paraId="3BB07157" w14:textId="77777777" w:rsidR="00E217B0" w:rsidRDefault="00F553E4">
      <w:pPr>
        <w:pStyle w:val="Bullets"/>
        <w:rPr>
          <w:rFonts w:ascii="Calibri" w:hAnsi="Calibri" w:cs="Calibri"/>
        </w:rPr>
      </w:pPr>
      <w:r>
        <w:rPr>
          <w:rFonts w:ascii="Calibri" w:hAnsi="Calibri" w:cs="Calibri"/>
        </w:rPr>
        <w:t>Do montażu na furtkach z zawiasem 180° dostępne jest akcesorium VENUS-RAIL umożliwiające montaż silnika Venus pod zawiasem.</w:t>
      </w:r>
    </w:p>
    <w:p w14:paraId="0926ABD1" w14:textId="3B3A03CC" w:rsidR="00E217B0" w:rsidRDefault="00F553E4">
      <w:pPr>
        <w:pStyle w:val="Bullets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 xml:space="preserve">Odpowiedni do furtek skrętnych w lewo i w prawo. </w:t>
      </w:r>
    </w:p>
    <w:p w14:paraId="7FC92B4D" w14:textId="00EDFB11" w:rsidR="00E217B0" w:rsidRDefault="00F553E4">
      <w:pPr>
        <w:pStyle w:val="Bullets"/>
        <w:rPr>
          <w:rFonts w:ascii="Calibri" w:hAnsi="Calibri" w:cs="Calibri"/>
        </w:rPr>
      </w:pPr>
      <w:r>
        <w:rPr>
          <w:rFonts w:ascii="Calibri" w:hAnsi="Calibri" w:cs="Calibri"/>
        </w:rPr>
        <w:t>Wymagana jest płyta uderzeniowa lub zapadka blokująca do określenia pozycji zerowej.</w:t>
      </w:r>
    </w:p>
    <w:p w14:paraId="2B9A376F" w14:textId="1A9C9768" w:rsidR="00E217B0" w:rsidRDefault="00F553E4">
      <w:pPr>
        <w:pStyle w:val="Bullets"/>
        <w:rPr>
          <w:rFonts w:ascii="Calibri" w:hAnsi="Calibri" w:cs="Calibri"/>
        </w:rPr>
      </w:pPr>
      <w:r>
        <w:rPr>
          <w:rFonts w:ascii="Calibri" w:hAnsi="Calibri" w:cs="Calibri"/>
        </w:rPr>
        <w:t>Dzięki standardowemu trybowi niskiego zużycia energii nie są wymagane żadne czujniki bezpieczeństwa.</w:t>
      </w:r>
    </w:p>
    <w:p w14:paraId="564D743D" w14:textId="17EC09D8" w:rsidR="00E217B0" w:rsidRDefault="00F553E4">
      <w:pPr>
        <w:pStyle w:val="Bullets"/>
        <w:rPr>
          <w:rFonts w:ascii="Calibri" w:hAnsi="Calibri" w:cs="Calibri"/>
        </w:rPr>
      </w:pPr>
      <w:r>
        <w:rPr>
          <w:rFonts w:ascii="Calibri" w:hAnsi="Calibri" w:cs="Calibri"/>
        </w:rPr>
        <w:t xml:space="preserve">Film instalacyjny 3D jest dostępny w aplikacji. </w:t>
      </w:r>
    </w:p>
    <w:p w14:paraId="3DF7739F" w14:textId="1009972F" w:rsidR="00E217B0" w:rsidRDefault="00F553E4">
      <w:pPr>
        <w:pStyle w:val="Bullets"/>
        <w:rPr>
          <w:rFonts w:ascii="Calibri" w:hAnsi="Calibri" w:cs="Calibri"/>
        </w:rPr>
      </w:pPr>
      <w:r>
        <w:rPr>
          <w:rFonts w:ascii="Calibri" w:hAnsi="Calibri" w:cs="Calibri"/>
        </w:rPr>
        <w:t>Trzy konfigurowalne wejścia do podłączenia czujników kontroli dostępu, bezpieczeństwa i nie tylko.</w:t>
      </w:r>
    </w:p>
    <w:p w14:paraId="3857031C" w14:textId="3197C1BF" w:rsidR="00E217B0" w:rsidRDefault="00F553E4">
      <w:pPr>
        <w:pStyle w:val="Bullets"/>
        <w:rPr>
          <w:rFonts w:ascii="Calibri" w:hAnsi="Calibri" w:cs="Calibri"/>
        </w:rPr>
      </w:pPr>
      <w:r>
        <w:rPr>
          <w:rFonts w:ascii="Calibri" w:hAnsi="Calibri" w:cs="Calibri"/>
        </w:rPr>
        <w:t>Trzy konfigurowalne wyjścia do podłączenia elektrozaczepu, zaczepu elektromagnetycznego, lampy ostrzegawczej lub oświetlenia otoczenia oraz stałego źródła zasilania 24 V DC.</w:t>
      </w:r>
    </w:p>
    <w:p w14:paraId="063868CC" w14:textId="74A277F6" w:rsidR="00E217B0" w:rsidRPr="00B8003B" w:rsidRDefault="00E217B0">
      <w:pPr>
        <w:spacing w:after="0" w:line="240" w:lineRule="auto"/>
        <w:rPr>
          <w:rFonts w:asciiTheme="majorHAnsi" w:hAnsiTheme="majorHAnsi" w:cs="Calibri Light (Koppen)"/>
          <w:b/>
          <w:color w:val="EB8215"/>
          <w:sz w:val="20"/>
          <w:lang w:val="en-GB"/>
        </w:rPr>
      </w:pPr>
    </w:p>
    <w:p w14:paraId="2E0F0774" w14:textId="45667236" w:rsidR="00E217B0" w:rsidRDefault="00F553E4">
      <w:pPr>
        <w:pStyle w:val="Pa1"/>
        <w:spacing w:before="240" w:after="120"/>
        <w:rPr>
          <w:rFonts w:asciiTheme="majorHAnsi" w:hAnsiTheme="majorHAnsi" w:cs="Calibri Light (Koppen)"/>
          <w:b/>
          <w:color w:val="EB8215"/>
          <w:sz w:val="20"/>
        </w:rPr>
      </w:pPr>
      <w:r>
        <w:rPr>
          <w:rFonts w:asciiTheme="majorHAnsi" w:hAnsiTheme="majorHAnsi" w:cs="Calibri Light (Koppen)"/>
          <w:b/>
          <w:color w:val="EB8215"/>
          <w:sz w:val="20"/>
        </w:rPr>
        <w:t>KONFIGURACJA</w:t>
      </w:r>
    </w:p>
    <w:p w14:paraId="01588A36" w14:textId="34E4F2EA" w:rsidR="00E217B0" w:rsidRDefault="00F553E4">
      <w:pPr>
        <w:pStyle w:val="Bullets"/>
        <w:rPr>
          <w:rFonts w:ascii="Calibri" w:hAnsi="Calibri" w:cs="Calibri"/>
        </w:rPr>
      </w:pPr>
      <w:r>
        <w:rPr>
          <w:rFonts w:ascii="Calibri" w:hAnsi="Calibri" w:cs="Calibri"/>
        </w:rPr>
        <w:t>Programowanie za pomocą aplikacji</w:t>
      </w:r>
    </w:p>
    <w:p w14:paraId="03096BB7" w14:textId="6FF2AE5B" w:rsidR="00E217B0" w:rsidRDefault="00F553E4">
      <w:pPr>
        <w:pStyle w:val="Bullets"/>
        <w:rPr>
          <w:rFonts w:ascii="Calibri" w:hAnsi="Calibri" w:cs="Calibri"/>
        </w:rPr>
      </w:pPr>
      <w:r>
        <w:rPr>
          <w:rFonts w:ascii="Calibri" w:hAnsi="Calibri" w:cs="Calibri"/>
        </w:rPr>
        <w:t>Przewodnik krok po kroku z instrukcjami wideo dostępnymi w aplikacji</w:t>
      </w:r>
    </w:p>
    <w:p w14:paraId="64FA858C" w14:textId="7B32535B" w:rsidR="00E217B0" w:rsidRDefault="00F553E4">
      <w:pPr>
        <w:pStyle w:val="Bullets"/>
        <w:rPr>
          <w:rFonts w:ascii="Calibri" w:hAnsi="Calibri" w:cs="Calibri"/>
        </w:rPr>
      </w:pPr>
      <w:r>
        <w:rPr>
          <w:rFonts w:ascii="Calibri" w:hAnsi="Calibri" w:cs="Calibri"/>
        </w:rPr>
        <w:t>Aplikacja jest dostępna na urządzenia z systemem ANDROID lub iOS</w:t>
      </w:r>
    </w:p>
    <w:p w14:paraId="51ED780C" w14:textId="6A4F5ABA" w:rsidR="00E217B0" w:rsidRDefault="00F553E4">
      <w:pPr>
        <w:pStyle w:val="Pa1"/>
        <w:spacing w:before="240" w:after="120"/>
      </w:pPr>
      <w:r>
        <w:rPr>
          <w:rFonts w:asciiTheme="majorHAnsi" w:hAnsiTheme="majorHAnsi" w:cs="Calibri Light (Koppen)"/>
          <w:b/>
          <w:color w:val="EB8215"/>
          <w:sz w:val="20"/>
        </w:rPr>
        <w:t>MATERIAŁ</w:t>
      </w:r>
    </w:p>
    <w:p w14:paraId="48BA98CF" w14:textId="150CCD46" w:rsidR="00E217B0" w:rsidRDefault="00F553E4">
      <w:pPr>
        <w:pStyle w:val="Bullets"/>
        <w:rPr>
          <w:rFonts w:ascii="Calibri" w:hAnsi="Calibri" w:cs="Calibri"/>
        </w:rPr>
      </w:pPr>
      <w:r>
        <w:rPr>
          <w:rFonts w:ascii="Calibri" w:hAnsi="Calibri" w:cs="Calibri"/>
        </w:rPr>
        <w:t xml:space="preserve">Obudowa z anodyzowanego aluminium. </w:t>
      </w:r>
    </w:p>
    <w:p w14:paraId="3FAF84E0" w14:textId="450CD0F0" w:rsidR="00E217B0" w:rsidRDefault="00F553E4">
      <w:pPr>
        <w:pStyle w:val="Bullets"/>
        <w:rPr>
          <w:rFonts w:ascii="Calibri" w:hAnsi="Calibri" w:cs="Calibri"/>
        </w:rPr>
      </w:pPr>
      <w:r>
        <w:rPr>
          <w:rFonts w:ascii="Calibri" w:hAnsi="Calibri" w:cs="Calibri"/>
        </w:rPr>
        <w:t>Odporność na korozję w 500-godzinnym teście mgły solnej, zgodnie z ISO9227.</w:t>
      </w:r>
    </w:p>
    <w:p w14:paraId="483B4F4C" w14:textId="1D48E419" w:rsidR="00E217B0" w:rsidRDefault="00F553E4">
      <w:pPr>
        <w:pStyle w:val="Bullets"/>
        <w:spacing w:after="0"/>
      </w:pPr>
      <w:r>
        <w:rPr>
          <w:rFonts w:ascii="Calibri" w:hAnsi="Calibri" w:cs="Calibri"/>
        </w:rPr>
        <w:t xml:space="preserve">Odporność na promieniowanie UV i trwały kolor. </w:t>
      </w:r>
      <w:bookmarkEnd w:id="0"/>
    </w:p>
    <w:sectPr w:rsidR="00E217B0">
      <w:headerReference w:type="default" r:id="rId7"/>
      <w:footerReference w:type="default" r:id="rId8"/>
      <w:pgSz w:w="11900" w:h="16840"/>
      <w:pgMar w:top="1134" w:right="1134" w:bottom="170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0E534E" w14:textId="77777777" w:rsidR="00125200" w:rsidRDefault="00125200">
      <w:pPr>
        <w:spacing w:after="0" w:line="240" w:lineRule="auto"/>
      </w:pPr>
      <w:r>
        <w:separator/>
      </w:r>
    </w:p>
  </w:endnote>
  <w:endnote w:type="continuationSeparator" w:id="0">
    <w:p w14:paraId="05990FB8" w14:textId="77777777" w:rsidR="00125200" w:rsidRDefault="001252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utura Std Book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utura Std Medium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 Light (Koppen)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711E29" w14:textId="77777777" w:rsidR="00E217B0" w:rsidRDefault="00F553E4">
    <w:pPr>
      <w:pStyle w:val="Voettekst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AEFCEF0" wp14:editId="7CE293D7">
          <wp:simplePos x="0" y="0"/>
          <wp:positionH relativeFrom="column">
            <wp:posOffset>-13335</wp:posOffset>
          </wp:positionH>
          <wp:positionV relativeFrom="paragraph">
            <wp:posOffset>108585</wp:posOffset>
          </wp:positionV>
          <wp:extent cx="1486535" cy="242570"/>
          <wp:effectExtent l="0" t="0" r="12065" b="11430"/>
          <wp:wrapNone/>
          <wp:docPr id="15" name="Afbeelding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CINOX__nobaseline_P151C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86535" cy="2425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B4EAA53" wp14:editId="33E8F883">
              <wp:simplePos x="0" y="0"/>
              <wp:positionH relativeFrom="column">
                <wp:posOffset>3078480</wp:posOffset>
              </wp:positionH>
              <wp:positionV relativeFrom="paragraph">
                <wp:posOffset>-6985</wp:posOffset>
              </wp:positionV>
              <wp:extent cx="3200400" cy="571500"/>
              <wp:effectExtent l="0" t="0" r="0" b="12700"/>
              <wp:wrapNone/>
              <wp:docPr id="4" name="Tekstvak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200400" cy="571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119E581" w14:textId="77777777" w:rsidR="00E217B0" w:rsidRDefault="00F553E4">
                          <w:pPr>
                            <w:pStyle w:val="Pa0"/>
                            <w:jc w:val="right"/>
                            <w:rPr>
                              <w:rFonts w:asciiTheme="minorHAnsi" w:hAnsiTheme="minorHAnsi" w:cstheme="minorHAnsi"/>
                              <w:color w:val="262626" w:themeColor="text1" w:themeTint="D9"/>
                              <w:sz w:val="20"/>
                            </w:rPr>
                          </w:pPr>
                          <w:r>
                            <w:rPr>
                              <w:rStyle w:val="A1"/>
                              <w:rFonts w:asciiTheme="minorHAnsi" w:hAnsiTheme="minorHAnsi" w:cstheme="minorHAnsi"/>
                              <w:color w:val="262626" w:themeColor="text1" w:themeTint="D9"/>
                            </w:rPr>
                            <w:t>Mannebeekstraat 21, 8790 Waregem - Belgia</w:t>
                          </w:r>
                        </w:p>
                        <w:p w14:paraId="698664CC" w14:textId="28573F8B" w:rsidR="00E217B0" w:rsidRDefault="00F553E4">
                          <w:pPr>
                            <w:jc w:val="right"/>
                            <w:rPr>
                              <w:rFonts w:cstheme="minorHAnsi"/>
                              <w:color w:val="EB8215"/>
                            </w:rPr>
                          </w:pPr>
                          <w:r>
                            <w:rPr>
                              <w:rStyle w:val="A1"/>
                              <w:rFonts w:asciiTheme="minorHAnsi" w:hAnsiTheme="minorHAnsi" w:cstheme="minorHAnsi"/>
                              <w:color w:val="262626" w:themeColor="text1" w:themeTint="D9"/>
                            </w:rPr>
                            <w:t>Tel. +32(0)56 77 27 66, faks. +32(0)56 77 69 26, info@locinox.com,</w:t>
                          </w:r>
                          <w:r>
                            <w:rPr>
                              <w:rStyle w:val="A1"/>
                              <w:rFonts w:asciiTheme="minorHAnsi" w:hAnsiTheme="minorHAnsi" w:cstheme="minorHAnsi"/>
                              <w:b/>
                              <w:color w:val="EB8215"/>
                            </w:rPr>
                            <w:t>www.locinox.com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B4EAA53" id="_x0000_t202" coordsize="21600,21600" o:spt="202" path="m,l,21600r21600,l21600,xe">
              <v:stroke joinstyle="miter"/>
              <v:path gradientshapeok="t" o:connecttype="rect"/>
            </v:shapetype>
            <v:shape id="Tekstvak 4" o:spid="_x0000_s1026" type="#_x0000_t202" style="position:absolute;margin-left:242.4pt;margin-top:-.55pt;width:252pt;height: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" filled="f" stroked="f">
              <v:textbox>
                <w:txbxContent>
                  <w:p w14:paraId="5119E581" w14:textId="77777777" w:rsidR="00E217B0" w:rsidRDefault="00F553E4">
                    <w:pPr>
                      <w:pStyle w:val="Pa0"/>
                      <w:jc w:val="right"/>
                      <w:rPr>
                        <w:rFonts w:asciiTheme="minorHAnsi" w:hAnsiTheme="minorHAnsi" w:cstheme="minorHAnsi"/>
                        <w:color w:val="262626" w:themeColor="text1" w:themeTint="D9"/>
                        <w:sz w:val="20"/>
                      </w:rPr>
                    </w:pPr>
                    <w:r>
                      <w:rPr>
                        <w:rStyle w:val="A1"/>
                        <w:rFonts w:asciiTheme="minorHAnsi" w:hAnsiTheme="minorHAnsi" w:cstheme="minorHAnsi"/>
                        <w:color w:val="262626" w:themeColor="text1" w:themeTint="D9"/>
                      </w:rPr>
                      <w:t xml:space="preserve">Mannebeekstraat 21, 8790 Waregem - </w:t>
                    </w:r>
                    <w:proofErr w:type="spellStart"/>
                    <w:r>
                      <w:rPr>
                        <w:rStyle w:val="A1"/>
                        <w:rFonts w:asciiTheme="minorHAnsi" w:hAnsiTheme="minorHAnsi" w:cstheme="minorHAnsi"/>
                        <w:color w:val="262626" w:themeColor="text1" w:themeTint="D9"/>
                      </w:rPr>
                      <w:t>Belgia</w:t>
                    </w:r>
                    <w:proofErr w:type="spellEnd"/>
                  </w:p>
                  <w:p w14:paraId="698664CC" w14:textId="28573F8B" w:rsidR="00E217B0" w:rsidRDefault="00F553E4">
                    <w:pPr>
                      <w:jc w:val="right"/>
                      <w:rPr>
                        <w:rFonts w:cstheme="minorHAnsi"/>
                        <w:color w:val="EB8215"/>
                      </w:rPr>
                    </w:pPr>
                    <w:r>
                      <w:rPr>
                        <w:rStyle w:val="A1"/>
                        <w:rFonts w:asciiTheme="minorHAnsi" w:hAnsiTheme="minorHAnsi" w:cstheme="minorHAnsi"/>
                        <w:color w:val="262626" w:themeColor="text1" w:themeTint="D9"/>
                      </w:rPr>
                      <w:t xml:space="preserve">Tel. +32(0)56 77 27 66, </w:t>
                    </w:r>
                    <w:proofErr w:type="spellStart"/>
                    <w:r>
                      <w:rPr>
                        <w:rStyle w:val="A1"/>
                        <w:rFonts w:asciiTheme="minorHAnsi" w:hAnsiTheme="minorHAnsi" w:cstheme="minorHAnsi"/>
                        <w:color w:val="262626" w:themeColor="text1" w:themeTint="D9"/>
                      </w:rPr>
                      <w:t>faks</w:t>
                    </w:r>
                    <w:proofErr w:type="spellEnd"/>
                    <w:r>
                      <w:rPr>
                        <w:rStyle w:val="A1"/>
                        <w:rFonts w:asciiTheme="minorHAnsi" w:hAnsiTheme="minorHAnsi" w:cstheme="minorHAnsi"/>
                        <w:color w:val="262626" w:themeColor="text1" w:themeTint="D9"/>
                      </w:rPr>
                      <w:t>. +32(0)56 77 69 26, info@locinox.com,</w:t>
                    </w:r>
                    <w:r>
                      <w:rPr>
                        <w:rStyle w:val="A1"/>
                        <w:rFonts w:asciiTheme="minorHAnsi" w:hAnsiTheme="minorHAnsi" w:cstheme="minorHAnsi"/>
                        <w:b/>
                        <w:color w:val="EB8215"/>
                      </w:rPr>
                      <w:t>www.locinox.com</w:t>
                    </w:r>
                  </w:p>
                </w:txbxContent>
              </v:textbox>
            </v:shape>
          </w:pict>
        </mc:Fallback>
      </mc:AlternateContent>
    </w:r>
    <w:r>
      <w:rPr>
        <w:rFonts w:ascii="Futura Std Book" w:hAnsi="Futura Std Book" w:cs="Futura Std Medium"/>
        <w:noProof/>
        <w:color w:val="E7E6E6" w:themeColor="background2"/>
        <w:sz w:val="40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7F32F0D" wp14:editId="3760CC62">
              <wp:simplePos x="0" y="0"/>
              <wp:positionH relativeFrom="column">
                <wp:posOffset>0</wp:posOffset>
              </wp:positionH>
              <wp:positionV relativeFrom="paragraph">
                <wp:posOffset>-104140</wp:posOffset>
              </wp:positionV>
              <wp:extent cx="6210935" cy="2540"/>
              <wp:effectExtent l="0" t="0" r="37465" b="48260"/>
              <wp:wrapNone/>
              <wp:docPr id="11" name="Rechte verbindingslijn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210935" cy="2540"/>
                      </a:xfrm>
                      <a:prstGeom prst="line">
                        <a:avLst/>
                      </a:prstGeom>
                      <a:ln>
                        <a:solidFill>
                          <a:schemeClr val="bg2">
                            <a:lumMod val="2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7EF8C8F" id="Rechte verbindingslijn 1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-8.2pt" to="489.05pt,-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" strokecolor="#393737 [814]" strokeweight=".5pt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F81558" w14:textId="77777777" w:rsidR="00125200" w:rsidRDefault="00125200">
      <w:pPr>
        <w:spacing w:after="0" w:line="240" w:lineRule="auto"/>
      </w:pPr>
      <w:r>
        <w:separator/>
      </w:r>
    </w:p>
  </w:footnote>
  <w:footnote w:type="continuationSeparator" w:id="0">
    <w:p w14:paraId="043E3B89" w14:textId="77777777" w:rsidR="00125200" w:rsidRDefault="001252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B29AE" w14:textId="77777777" w:rsidR="00E217B0" w:rsidRDefault="00F553E4">
    <w:pPr>
      <w:spacing w:after="100" w:afterAutospacing="1"/>
      <w:jc w:val="right"/>
      <w:rPr>
        <w:rFonts w:cstheme="minorHAnsi"/>
        <w:color w:val="AEAAAA" w:themeColor="background2" w:themeShade="BF"/>
        <w:sz w:val="24"/>
      </w:rPr>
    </w:pPr>
    <w:r>
      <w:rPr>
        <w:rFonts w:cstheme="minorHAnsi"/>
        <w:color w:val="AEAAAA" w:themeColor="background2" w:themeShade="BF"/>
        <w:sz w:val="24"/>
      </w:rPr>
      <w:t>SPECYFIKACJE ARCHITEKTONICZNE I INŻYNIERYJNE</w:t>
    </w:r>
  </w:p>
  <w:p w14:paraId="7C6D4EDF" w14:textId="77777777" w:rsidR="00E217B0" w:rsidRDefault="00E217B0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D91D70"/>
    <w:multiLevelType w:val="hybridMultilevel"/>
    <w:tmpl w:val="0874947C"/>
    <w:lvl w:ilvl="0" w:tplc="A4A60DA0">
      <w:numFmt w:val="bullet"/>
      <w:lvlText w:val=""/>
      <w:lvlJc w:val="left"/>
      <w:pPr>
        <w:ind w:left="720" w:hanging="360"/>
      </w:pPr>
      <w:rPr>
        <w:rFonts w:ascii="Wingdings 3" w:eastAsiaTheme="minorHAnsi" w:hAnsi="Wingdings 3" w:cs="Futura Std Book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7B0BBD"/>
    <w:multiLevelType w:val="hybridMultilevel"/>
    <w:tmpl w:val="9F1A4FF4"/>
    <w:lvl w:ilvl="0" w:tplc="C6E0FEB4">
      <w:numFmt w:val="bullet"/>
      <w:pStyle w:val="Bullets"/>
      <w:lvlText w:val=""/>
      <w:lvlJc w:val="left"/>
      <w:pPr>
        <w:ind w:left="720" w:hanging="360"/>
      </w:pPr>
      <w:rPr>
        <w:rFonts w:ascii="Wingdings 3" w:hAnsi="Wingdings 3" w:cs="Futura Std Book" w:hint="default"/>
        <w:color w:val="EB8215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2A7F7E"/>
    <w:multiLevelType w:val="multilevel"/>
    <w:tmpl w:val="9F1A4FF4"/>
    <w:lvl w:ilvl="0">
      <w:numFmt w:val="bullet"/>
      <w:lvlText w:val=""/>
      <w:lvlJc w:val="left"/>
      <w:pPr>
        <w:ind w:left="720" w:hanging="360"/>
      </w:pPr>
      <w:rPr>
        <w:rFonts w:ascii="Wingdings 3" w:hAnsi="Wingdings 3" w:cs="Futura Std Book" w:hint="default"/>
        <w:color w:val="EB8215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3E21E1"/>
    <w:multiLevelType w:val="hybridMultilevel"/>
    <w:tmpl w:val="E0329078"/>
    <w:lvl w:ilvl="0" w:tplc="47F4D152">
      <w:numFmt w:val="bullet"/>
      <w:lvlText w:val=""/>
      <w:lvlJc w:val="left"/>
      <w:pPr>
        <w:ind w:left="720" w:hanging="360"/>
      </w:pPr>
      <w:rPr>
        <w:rFonts w:ascii="Symbol" w:eastAsiaTheme="minorHAnsi" w:hAnsi="Symbol" w:cs="Futura Std Book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7344466">
    <w:abstractNumId w:val="3"/>
  </w:num>
  <w:num w:numId="2" w16cid:durableId="2024163671">
    <w:abstractNumId w:val="0"/>
  </w:num>
  <w:num w:numId="3" w16cid:durableId="209002393">
    <w:abstractNumId w:val="1"/>
  </w:num>
  <w:num w:numId="4" w16cid:durableId="95171663">
    <w:abstractNumId w:val="2"/>
  </w:num>
  <w:num w:numId="5" w16cid:durableId="949356970">
    <w:abstractNumId w:val="1"/>
  </w:num>
  <w:num w:numId="6" w16cid:durableId="20152575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671"/>
    <w:rsid w:val="00001FC4"/>
    <w:rsid w:val="00030E90"/>
    <w:rsid w:val="00084143"/>
    <w:rsid w:val="00095666"/>
    <w:rsid w:val="000A4F89"/>
    <w:rsid w:val="000D2767"/>
    <w:rsid w:val="00125200"/>
    <w:rsid w:val="00146E66"/>
    <w:rsid w:val="0017508D"/>
    <w:rsid w:val="00191D92"/>
    <w:rsid w:val="00196228"/>
    <w:rsid w:val="00205663"/>
    <w:rsid w:val="00206C52"/>
    <w:rsid w:val="00221C5F"/>
    <w:rsid w:val="00246764"/>
    <w:rsid w:val="00247021"/>
    <w:rsid w:val="00282192"/>
    <w:rsid w:val="00301616"/>
    <w:rsid w:val="00305F3D"/>
    <w:rsid w:val="00326E03"/>
    <w:rsid w:val="00332256"/>
    <w:rsid w:val="00385B5B"/>
    <w:rsid w:val="003A1927"/>
    <w:rsid w:val="003D0F47"/>
    <w:rsid w:val="0042709D"/>
    <w:rsid w:val="0045305B"/>
    <w:rsid w:val="004B3EDE"/>
    <w:rsid w:val="004C60CF"/>
    <w:rsid w:val="004C7EF3"/>
    <w:rsid w:val="00513982"/>
    <w:rsid w:val="005347CA"/>
    <w:rsid w:val="00544255"/>
    <w:rsid w:val="00555923"/>
    <w:rsid w:val="0055711E"/>
    <w:rsid w:val="00574AAA"/>
    <w:rsid w:val="0065206E"/>
    <w:rsid w:val="00655ED9"/>
    <w:rsid w:val="00666BAC"/>
    <w:rsid w:val="006671F1"/>
    <w:rsid w:val="006876F7"/>
    <w:rsid w:val="006A2C28"/>
    <w:rsid w:val="006C1E6F"/>
    <w:rsid w:val="0070655D"/>
    <w:rsid w:val="00751519"/>
    <w:rsid w:val="00784971"/>
    <w:rsid w:val="007D7949"/>
    <w:rsid w:val="007E2F52"/>
    <w:rsid w:val="007E43F1"/>
    <w:rsid w:val="007F7140"/>
    <w:rsid w:val="00826FF6"/>
    <w:rsid w:val="008369D0"/>
    <w:rsid w:val="008516D9"/>
    <w:rsid w:val="008571B5"/>
    <w:rsid w:val="0091308C"/>
    <w:rsid w:val="00915CB2"/>
    <w:rsid w:val="0095434C"/>
    <w:rsid w:val="009625DF"/>
    <w:rsid w:val="00985EA5"/>
    <w:rsid w:val="009A0189"/>
    <w:rsid w:val="009A16AB"/>
    <w:rsid w:val="00A00926"/>
    <w:rsid w:val="00A02D22"/>
    <w:rsid w:val="00A040D4"/>
    <w:rsid w:val="00A21863"/>
    <w:rsid w:val="00A43F3B"/>
    <w:rsid w:val="00A64315"/>
    <w:rsid w:val="00AB7B74"/>
    <w:rsid w:val="00AD24E8"/>
    <w:rsid w:val="00AD5D74"/>
    <w:rsid w:val="00B23E48"/>
    <w:rsid w:val="00B50DB5"/>
    <w:rsid w:val="00B52EDA"/>
    <w:rsid w:val="00B55A9E"/>
    <w:rsid w:val="00B8003B"/>
    <w:rsid w:val="00BE1B8B"/>
    <w:rsid w:val="00BE5D71"/>
    <w:rsid w:val="00C82C12"/>
    <w:rsid w:val="00CA2BED"/>
    <w:rsid w:val="00CC0DCA"/>
    <w:rsid w:val="00CD230B"/>
    <w:rsid w:val="00CE31CE"/>
    <w:rsid w:val="00D42B56"/>
    <w:rsid w:val="00D470E2"/>
    <w:rsid w:val="00D53528"/>
    <w:rsid w:val="00D82671"/>
    <w:rsid w:val="00D84DBA"/>
    <w:rsid w:val="00D96E6B"/>
    <w:rsid w:val="00DB161D"/>
    <w:rsid w:val="00DB6EA4"/>
    <w:rsid w:val="00E024CF"/>
    <w:rsid w:val="00E10401"/>
    <w:rsid w:val="00E12D30"/>
    <w:rsid w:val="00E217B0"/>
    <w:rsid w:val="00E36FD0"/>
    <w:rsid w:val="00E467D8"/>
    <w:rsid w:val="00EC009D"/>
    <w:rsid w:val="00EE42DC"/>
    <w:rsid w:val="00F05A05"/>
    <w:rsid w:val="00F266A4"/>
    <w:rsid w:val="00F3557E"/>
    <w:rsid w:val="00F46D31"/>
    <w:rsid w:val="00F553E4"/>
    <w:rsid w:val="00F57826"/>
    <w:rsid w:val="00F667B3"/>
    <w:rsid w:val="00F67902"/>
    <w:rsid w:val="00F75041"/>
    <w:rsid w:val="00F772CD"/>
    <w:rsid w:val="00FD2583"/>
    <w:rsid w:val="00FF5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12A275"/>
  <w15:chartTrackingRefBased/>
  <w15:docId w15:val="{09D49420-390E-41D6-82A2-9C03D8C91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ard">
    <w:name w:val="Normal"/>
    <w:qFormat/>
    <w:rsid w:val="008571B5"/>
    <w:pPr>
      <w:spacing w:after="160" w:line="259" w:lineRule="auto"/>
    </w:pPr>
    <w:rPr>
      <w:sz w:val="22"/>
      <w:szCs w:val="22"/>
      <w:lang w:val="nl-B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55711E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55711E"/>
  </w:style>
  <w:style w:type="paragraph" w:styleId="Voettekst">
    <w:name w:val="footer"/>
    <w:basedOn w:val="Standaard"/>
    <w:link w:val="VoettekstChar"/>
    <w:uiPriority w:val="99"/>
    <w:unhideWhenUsed/>
    <w:rsid w:val="0055711E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55711E"/>
  </w:style>
  <w:style w:type="paragraph" w:customStyle="1" w:styleId="Pa0">
    <w:name w:val="Pa0"/>
    <w:basedOn w:val="Standaard"/>
    <w:next w:val="Standaard"/>
    <w:uiPriority w:val="99"/>
    <w:rsid w:val="008571B5"/>
    <w:pPr>
      <w:autoSpaceDE w:val="0"/>
      <w:autoSpaceDN w:val="0"/>
      <w:adjustRightInd w:val="0"/>
      <w:spacing w:after="0" w:line="241" w:lineRule="atLeast"/>
    </w:pPr>
    <w:rPr>
      <w:rFonts w:ascii="Futura Std Medium" w:hAnsi="Futura Std Medium"/>
      <w:sz w:val="24"/>
      <w:szCs w:val="24"/>
    </w:rPr>
  </w:style>
  <w:style w:type="character" w:customStyle="1" w:styleId="A1">
    <w:name w:val="A1"/>
    <w:uiPriority w:val="99"/>
    <w:rsid w:val="008571B5"/>
    <w:rPr>
      <w:rFonts w:ascii="Futura Std Book" w:hAnsi="Futura Std Book" w:cs="Futura Std Book"/>
      <w:color w:val="000000"/>
      <w:sz w:val="20"/>
      <w:szCs w:val="20"/>
    </w:rPr>
  </w:style>
  <w:style w:type="paragraph" w:customStyle="1" w:styleId="Pa1">
    <w:name w:val="Pa1"/>
    <w:basedOn w:val="Standaard"/>
    <w:next w:val="Standaard"/>
    <w:uiPriority w:val="99"/>
    <w:rsid w:val="007F7140"/>
    <w:pPr>
      <w:autoSpaceDE w:val="0"/>
      <w:autoSpaceDN w:val="0"/>
      <w:adjustRightInd w:val="0"/>
      <w:spacing w:after="0" w:line="241" w:lineRule="atLeast"/>
    </w:pPr>
    <w:rPr>
      <w:rFonts w:ascii="Futura Std Medium" w:hAnsi="Futura Std Medium"/>
      <w:sz w:val="24"/>
      <w:szCs w:val="24"/>
    </w:rPr>
  </w:style>
  <w:style w:type="paragraph" w:customStyle="1" w:styleId="Default">
    <w:name w:val="Default"/>
    <w:rsid w:val="007F7140"/>
    <w:pPr>
      <w:autoSpaceDE w:val="0"/>
      <w:autoSpaceDN w:val="0"/>
      <w:adjustRightInd w:val="0"/>
    </w:pPr>
    <w:rPr>
      <w:rFonts w:ascii="Futura Std Medium" w:hAnsi="Futura Std Medium" w:cs="Futura Std Medium"/>
      <w:color w:val="000000"/>
      <w:lang w:val="nl-BE"/>
    </w:rPr>
  </w:style>
  <w:style w:type="paragraph" w:customStyle="1" w:styleId="Subtitel">
    <w:name w:val="Subtitel"/>
    <w:basedOn w:val="Pa1"/>
    <w:qFormat/>
    <w:rsid w:val="00332256"/>
    <w:pPr>
      <w:spacing w:before="240" w:after="120"/>
    </w:pPr>
    <w:rPr>
      <w:rFonts w:ascii="Futura Std Book" w:hAnsi="Futura Std Book" w:cs="Futura Std Medium"/>
      <w:b/>
      <w:bCs/>
      <w:color w:val="EB8215"/>
      <w:sz w:val="20"/>
      <w:szCs w:val="20"/>
      <w:lang w:val="en-GB"/>
    </w:rPr>
  </w:style>
  <w:style w:type="paragraph" w:customStyle="1" w:styleId="Bullets">
    <w:name w:val="Bullets"/>
    <w:basedOn w:val="Default"/>
    <w:qFormat/>
    <w:rsid w:val="00332256"/>
    <w:pPr>
      <w:numPr>
        <w:numId w:val="3"/>
      </w:numPr>
      <w:spacing w:after="24"/>
    </w:pPr>
    <w:rPr>
      <w:rFonts w:ascii="Futura Std Book" w:hAnsi="Futura Std Book" w:cs="Futura Std Book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483</Words>
  <Characters>2661</Characters>
  <Application>Microsoft Office Word</Application>
  <DocSecurity>0</DocSecurity>
  <Lines>22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Jurgen Hofman</dc:creator>
  <cp:keywords/>
  <dc:description/>
  <cp:lastModifiedBy>Xavier De Naeyer</cp:lastModifiedBy>
  <cp:revision>5</cp:revision>
  <dcterms:created xsi:type="dcterms:W3CDTF">2023-11-27T10:45:00Z</dcterms:created>
  <dcterms:modified xsi:type="dcterms:W3CDTF">2024-02-08T07:24:00Z</dcterms:modified>
</cp:coreProperties>
</file>